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_GB2312" w:hAnsi="华文仿宋" w:eastAsia="仿宋_GB2312"/>
          <w:b/>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_GB2312" w:hAnsi="华文仿宋" w:eastAsia="仿宋_GB2312"/>
          <w:b/>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_GB2312" w:hAnsi="华文仿宋" w:eastAsia="仿宋_GB2312"/>
          <w:b/>
          <w:bCs/>
          <w:sz w:val="28"/>
          <w:szCs w:val="28"/>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leftChars="0" w:firstLine="2080" w:firstLineChars="740"/>
        <w:textAlignment w:val="auto"/>
        <w:outlineLvl w:val="9"/>
        <w:rPr>
          <w:rFonts w:hint="eastAsia" w:ascii="仿宋_GB2312" w:hAnsi="华文仿宋" w:eastAsia="仿宋_GB2312"/>
          <w:b/>
          <w:bCs/>
          <w:sz w:val="28"/>
          <w:szCs w:val="28"/>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 w:hAnsi="仿宋" w:eastAsia="仿宋" w:cs="仿宋"/>
          <w:b w:val="0"/>
          <w:bCs w:val="0"/>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 w:hAnsi="仿宋" w:eastAsia="仿宋" w:cs="仿宋"/>
          <w:b w:val="0"/>
          <w:bCs w:val="0"/>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sz w:val="36"/>
          <w:szCs w:val="36"/>
        </w:rPr>
      </w:pPr>
      <w:r>
        <w:rPr>
          <w:rFonts w:hint="eastAsia" w:ascii="仿宋" w:hAnsi="仿宋" w:eastAsia="仿宋" w:cs="仿宋"/>
          <w:b w:val="0"/>
          <w:bCs w:val="0"/>
          <w:sz w:val="32"/>
          <w:szCs w:val="32"/>
        </w:rPr>
        <w:t>黔商</w:t>
      </w:r>
      <w:r>
        <w:rPr>
          <w:rFonts w:hint="eastAsia" w:ascii="仿宋" w:hAnsi="仿宋" w:eastAsia="仿宋" w:cs="仿宋"/>
          <w:b w:val="0"/>
          <w:bCs w:val="0"/>
          <w:sz w:val="32"/>
          <w:szCs w:val="32"/>
          <w:lang w:eastAsia="zh-CN"/>
        </w:rPr>
        <w:t>院</w:t>
      </w:r>
      <w:r>
        <w:rPr>
          <w:rFonts w:hint="eastAsia" w:ascii="仿宋" w:hAnsi="仿宋" w:eastAsia="仿宋" w:cs="仿宋"/>
          <w:b w:val="0"/>
          <w:bCs w:val="0"/>
          <w:sz w:val="32"/>
          <w:szCs w:val="32"/>
        </w:rPr>
        <w:t>发〔201</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贵州商学院</w:t>
      </w:r>
      <w:r>
        <w:rPr>
          <w:rFonts w:hint="eastAsia" w:ascii="方正小标宋简体" w:hAnsi="方正小标宋简体" w:eastAsia="方正小标宋简体" w:cs="方正小标宋简体"/>
          <w:b w:val="0"/>
          <w:bCs/>
          <w:sz w:val="44"/>
          <w:szCs w:val="44"/>
        </w:rPr>
        <w:t>关于印发《贵州商学院公务卡管理实施办法（试行）》的通知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各部门：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0"/>
        <w:textAlignment w:val="auto"/>
        <w:outlineLvl w:val="9"/>
        <w:rPr>
          <w:rFonts w:hint="eastAsia" w:ascii="仿宋" w:hAnsi="仿宋" w:eastAsia="仿宋" w:cs="仿宋"/>
          <w:sz w:val="32"/>
          <w:szCs w:val="32"/>
        </w:rPr>
      </w:pPr>
      <w:r>
        <w:rPr>
          <w:rFonts w:hint="eastAsia" w:ascii="仿宋" w:hAnsi="仿宋" w:eastAsia="仿宋" w:cs="仿宋"/>
          <w:sz w:val="32"/>
          <w:szCs w:val="32"/>
        </w:rPr>
        <w:t>《贵州商学院公务卡管理实施办法（试行）》经201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月1</w:t>
      </w:r>
      <w:r>
        <w:rPr>
          <w:rFonts w:hint="eastAsia" w:ascii="仿宋" w:hAnsi="仿宋" w:eastAsia="仿宋" w:cs="仿宋"/>
          <w:sz w:val="32"/>
          <w:szCs w:val="32"/>
          <w:lang w:val="en-US" w:eastAsia="zh-CN"/>
        </w:rPr>
        <w:t>2</w:t>
      </w:r>
      <w:r>
        <w:rPr>
          <w:rFonts w:hint="eastAsia" w:ascii="仿宋" w:hAnsi="仿宋" w:eastAsia="仿宋" w:cs="仿宋"/>
          <w:sz w:val="32"/>
          <w:szCs w:val="32"/>
        </w:rPr>
        <w:t>日</w:t>
      </w:r>
      <w:r>
        <w:rPr>
          <w:rFonts w:hint="eastAsia" w:ascii="仿宋" w:hAnsi="仿宋" w:eastAsia="仿宋" w:cs="仿宋"/>
          <w:sz w:val="32"/>
          <w:szCs w:val="32"/>
          <w:lang w:eastAsia="zh-CN"/>
        </w:rPr>
        <w:t>院长</w:t>
      </w:r>
      <w:r>
        <w:rPr>
          <w:rFonts w:hint="eastAsia" w:ascii="仿宋" w:hAnsi="仿宋" w:eastAsia="仿宋" w:cs="仿宋"/>
          <w:sz w:val="32"/>
          <w:szCs w:val="32"/>
        </w:rPr>
        <w:t>办公会审议通过，现予以印发，请遵照执行。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0"/>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贵州商学院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760" w:firstLineChars="18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0"/>
        <w:jc w:val="righ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b/>
          <w:bCs/>
          <w:sz w:val="32"/>
          <w:szCs w:val="32"/>
          <w:lang w:eastAsia="zh-CN"/>
        </w:rPr>
      </w:pPr>
    </w:p>
    <w:p>
      <w:pPr>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贵州商学院公务卡管理实施办法（试行）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仿宋" w:eastAsia="仿宋"/>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宋体"/>
          <w:b/>
          <w:sz w:val="32"/>
          <w:szCs w:val="32"/>
        </w:rPr>
      </w:pPr>
      <w:r>
        <w:rPr>
          <w:rFonts w:hint="eastAsia" w:ascii="宋体" w:hAnsi="宋体"/>
          <w:b/>
          <w:sz w:val="32"/>
          <w:szCs w:val="32"/>
        </w:rPr>
        <w:t>第一章</w:t>
      </w:r>
      <w:r>
        <w:rPr>
          <w:rFonts w:ascii="宋体" w:hAnsi="宋体"/>
          <w:b/>
          <w:sz w:val="32"/>
          <w:szCs w:val="32"/>
        </w:rPr>
        <w:t xml:space="preserve">  </w:t>
      </w:r>
      <w:r>
        <w:rPr>
          <w:rFonts w:hint="eastAsia" w:ascii="宋体" w:hAnsi="宋体"/>
          <w:b/>
          <w:sz w:val="32"/>
          <w:szCs w:val="32"/>
        </w:rPr>
        <w:t>总</w:t>
      </w:r>
      <w:r>
        <w:rPr>
          <w:rFonts w:ascii="宋体" w:hAnsi="宋体"/>
          <w:b/>
          <w:sz w:val="32"/>
          <w:szCs w:val="32"/>
        </w:rPr>
        <w:t xml:space="preserve">  </w:t>
      </w:r>
      <w:r>
        <w:rPr>
          <w:rFonts w:hint="eastAsia" w:ascii="宋体" w:hAnsi="宋体"/>
          <w:b/>
          <w:sz w:val="32"/>
          <w:szCs w:val="32"/>
        </w:rPr>
        <w:t>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第一条</w:t>
      </w:r>
      <w:r>
        <w:rPr>
          <w:rFonts w:ascii="仿宋" w:hAnsi="仿宋" w:eastAsia="仿宋"/>
          <w:sz w:val="32"/>
          <w:szCs w:val="32"/>
        </w:rPr>
        <w:t xml:space="preserve">  </w:t>
      </w:r>
      <w:r>
        <w:rPr>
          <w:rFonts w:hint="eastAsia" w:ascii="仿宋" w:hAnsi="仿宋" w:eastAsia="仿宋"/>
          <w:sz w:val="32"/>
          <w:szCs w:val="32"/>
        </w:rPr>
        <w:t>为规范学院财务管理，减少现金支付结算，提高公务支出透明度，加强预算执行监控管理，根据《关于加快推进省级预算单位公务卡结算制度改革的通知》（黔财库〔</w:t>
      </w:r>
      <w:r>
        <w:rPr>
          <w:rFonts w:ascii="仿宋" w:hAnsi="仿宋" w:eastAsia="仿宋"/>
          <w:sz w:val="32"/>
          <w:szCs w:val="32"/>
        </w:rPr>
        <w:t>2012</w:t>
      </w:r>
      <w:r>
        <w:rPr>
          <w:rFonts w:hint="eastAsia" w:ascii="仿宋" w:hAnsi="仿宋" w:eastAsia="仿宋"/>
          <w:sz w:val="32"/>
          <w:szCs w:val="32"/>
        </w:rPr>
        <w:t>〕</w:t>
      </w:r>
      <w:r>
        <w:rPr>
          <w:rFonts w:ascii="仿宋" w:hAnsi="仿宋" w:eastAsia="仿宋"/>
          <w:sz w:val="32"/>
          <w:szCs w:val="32"/>
        </w:rPr>
        <w:t xml:space="preserve">30 </w:t>
      </w:r>
      <w:r>
        <w:rPr>
          <w:rFonts w:hint="eastAsia" w:ascii="仿宋" w:hAnsi="仿宋" w:eastAsia="仿宋"/>
          <w:sz w:val="32"/>
          <w:szCs w:val="32"/>
        </w:rPr>
        <w:t>号）、《关于全面推进贵州省公务卡结算制度改革工作的通知》（黔财库〔</w:t>
      </w:r>
      <w:r>
        <w:rPr>
          <w:rFonts w:ascii="仿宋" w:hAnsi="仿宋" w:eastAsia="仿宋"/>
          <w:sz w:val="32"/>
          <w:szCs w:val="32"/>
        </w:rPr>
        <w:t>2015</w:t>
      </w:r>
      <w:r>
        <w:rPr>
          <w:rFonts w:hint="eastAsia" w:ascii="仿宋" w:hAnsi="仿宋" w:eastAsia="仿宋"/>
          <w:sz w:val="32"/>
          <w:szCs w:val="32"/>
        </w:rPr>
        <w:t>〕</w:t>
      </w:r>
      <w:r>
        <w:rPr>
          <w:rFonts w:ascii="仿宋" w:hAnsi="仿宋" w:eastAsia="仿宋"/>
          <w:sz w:val="32"/>
          <w:szCs w:val="32"/>
        </w:rPr>
        <w:t xml:space="preserve">24 </w:t>
      </w:r>
      <w:r>
        <w:rPr>
          <w:rFonts w:hint="eastAsia" w:ascii="仿宋" w:hAnsi="仿宋" w:eastAsia="仿宋"/>
          <w:sz w:val="32"/>
          <w:szCs w:val="32"/>
        </w:rPr>
        <w:t>号）、《财政部</w:t>
      </w:r>
      <w:r>
        <w:rPr>
          <w:rFonts w:ascii="仿宋" w:hAnsi="仿宋" w:eastAsia="仿宋"/>
          <w:sz w:val="32"/>
          <w:szCs w:val="32"/>
        </w:rPr>
        <w:t xml:space="preserve"> </w:t>
      </w:r>
      <w:r>
        <w:rPr>
          <w:rFonts w:hint="eastAsia" w:ascii="仿宋" w:hAnsi="仿宋" w:eastAsia="仿宋"/>
          <w:sz w:val="32"/>
          <w:szCs w:val="32"/>
        </w:rPr>
        <w:t>科技部关于中央财政科研项目使用公务卡结算有关事项的通知》（财库〔</w:t>
      </w:r>
      <w:r>
        <w:rPr>
          <w:rFonts w:ascii="仿宋" w:hAnsi="仿宋" w:eastAsia="仿宋"/>
          <w:sz w:val="32"/>
          <w:szCs w:val="32"/>
        </w:rPr>
        <w:t>2015</w:t>
      </w:r>
      <w:r>
        <w:rPr>
          <w:rFonts w:hint="eastAsia" w:ascii="仿宋" w:hAnsi="仿宋" w:eastAsia="仿宋"/>
          <w:sz w:val="32"/>
          <w:szCs w:val="32"/>
        </w:rPr>
        <w:t>〕</w:t>
      </w:r>
      <w:r>
        <w:rPr>
          <w:rFonts w:ascii="仿宋" w:hAnsi="仿宋" w:eastAsia="仿宋"/>
          <w:sz w:val="32"/>
          <w:szCs w:val="32"/>
        </w:rPr>
        <w:t xml:space="preserve">245 </w:t>
      </w:r>
      <w:r>
        <w:rPr>
          <w:rFonts w:hint="eastAsia" w:ascii="仿宋" w:hAnsi="仿宋" w:eastAsia="仿宋"/>
          <w:sz w:val="32"/>
          <w:szCs w:val="32"/>
        </w:rPr>
        <w:t>号）等有关要求，结合学院实际，制定本办法。</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第二条</w:t>
      </w:r>
      <w:r>
        <w:rPr>
          <w:rFonts w:ascii="仿宋" w:hAnsi="仿宋" w:eastAsia="仿宋"/>
          <w:sz w:val="32"/>
          <w:szCs w:val="32"/>
        </w:rPr>
        <w:t xml:space="preserve">  </w:t>
      </w:r>
      <w:r>
        <w:rPr>
          <w:rFonts w:hint="eastAsia" w:ascii="仿宋" w:hAnsi="仿宋" w:eastAsia="仿宋"/>
          <w:sz w:val="32"/>
          <w:szCs w:val="32"/>
        </w:rPr>
        <w:t>本办法所称公务卡，是指学院教职工持有的用于日常公务支出和财务报销业务的银联标准信用卡。</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第三条</w:t>
      </w:r>
      <w:r>
        <w:rPr>
          <w:rFonts w:ascii="仿宋" w:hAnsi="仿宋" w:eastAsia="仿宋"/>
          <w:sz w:val="32"/>
          <w:szCs w:val="32"/>
        </w:rPr>
        <w:t xml:space="preserve">  </w:t>
      </w:r>
      <w:r>
        <w:rPr>
          <w:rFonts w:hint="eastAsia" w:ascii="仿宋" w:hAnsi="仿宋" w:eastAsia="仿宋"/>
          <w:sz w:val="32"/>
          <w:szCs w:val="32"/>
        </w:rPr>
        <w:t>学院公务卡的办理范围原则上为在职在编工作人员（以下统称教职工）。公务卡以学院教职工个人名义申请开立，教职工作为持卡人并承担相应法律责任。</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第四条</w:t>
      </w:r>
      <w:r>
        <w:rPr>
          <w:rFonts w:ascii="仿宋" w:hAnsi="仿宋" w:eastAsia="仿宋"/>
          <w:sz w:val="32"/>
          <w:szCs w:val="32"/>
        </w:rPr>
        <w:t xml:space="preserve">  </w:t>
      </w:r>
      <w:r>
        <w:rPr>
          <w:rFonts w:hint="eastAsia" w:ascii="仿宋" w:hAnsi="仿宋" w:eastAsia="仿宋"/>
          <w:sz w:val="32"/>
          <w:szCs w:val="32"/>
        </w:rPr>
        <w:t>学院公务卡发卡银行为零余额账户开户银行。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宋体"/>
          <w:b/>
          <w:sz w:val="32"/>
          <w:szCs w:val="32"/>
        </w:rPr>
      </w:pPr>
      <w:r>
        <w:rPr>
          <w:rFonts w:hint="eastAsia" w:ascii="宋体" w:hAnsi="宋体"/>
          <w:b/>
          <w:sz w:val="32"/>
          <w:szCs w:val="32"/>
        </w:rPr>
        <w:t>第二章</w:t>
      </w:r>
      <w:r>
        <w:rPr>
          <w:rFonts w:ascii="宋体" w:hAnsi="宋体"/>
          <w:b/>
          <w:sz w:val="32"/>
          <w:szCs w:val="32"/>
        </w:rPr>
        <w:t xml:space="preserve">   </w:t>
      </w:r>
      <w:r>
        <w:rPr>
          <w:rFonts w:hint="eastAsia" w:ascii="宋体" w:hAnsi="宋体"/>
          <w:b/>
          <w:sz w:val="32"/>
          <w:szCs w:val="32"/>
        </w:rPr>
        <w:t>公务卡申办和日常管理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第五条</w:t>
      </w:r>
      <w:r>
        <w:rPr>
          <w:rFonts w:ascii="仿宋" w:hAnsi="仿宋" w:eastAsia="仿宋"/>
          <w:sz w:val="32"/>
          <w:szCs w:val="32"/>
        </w:rPr>
        <w:t xml:space="preserve">  </w:t>
      </w:r>
      <w:r>
        <w:rPr>
          <w:rFonts w:hint="eastAsia" w:ascii="仿宋" w:hAnsi="仿宋" w:eastAsia="仿宋"/>
          <w:sz w:val="32"/>
          <w:szCs w:val="32"/>
        </w:rPr>
        <w:t>公务卡实行实名制。学院教职工每人可以申领一张公务卡。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第六条</w:t>
      </w:r>
      <w:r>
        <w:rPr>
          <w:rFonts w:ascii="仿宋" w:hAnsi="仿宋" w:eastAsia="仿宋"/>
          <w:sz w:val="32"/>
          <w:szCs w:val="32"/>
        </w:rPr>
        <w:t xml:space="preserve">  </w:t>
      </w:r>
      <w:r>
        <w:rPr>
          <w:rFonts w:hint="eastAsia" w:ascii="仿宋" w:hAnsi="仿宋" w:eastAsia="仿宋"/>
          <w:sz w:val="32"/>
          <w:szCs w:val="32"/>
        </w:rPr>
        <w:t>公务卡由学院统一办理。</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第七条</w:t>
      </w:r>
      <w:r>
        <w:rPr>
          <w:rFonts w:ascii="仿宋" w:hAnsi="仿宋" w:eastAsia="仿宋"/>
          <w:sz w:val="32"/>
          <w:szCs w:val="32"/>
        </w:rPr>
        <w:t xml:space="preserve">  </w:t>
      </w:r>
      <w:r>
        <w:rPr>
          <w:rFonts w:hint="eastAsia" w:ascii="仿宋" w:hAnsi="仿宋" w:eastAsia="仿宋"/>
          <w:sz w:val="32"/>
          <w:szCs w:val="32"/>
        </w:rPr>
        <w:t>发卡银行依据银行卡管理规定和个人资信情况予以核定信用额度。持卡人在规定信用额度和免息还款期内先支付，后还款。</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第八条</w:t>
      </w:r>
      <w:r>
        <w:rPr>
          <w:rFonts w:ascii="仿宋" w:hAnsi="仿宋" w:eastAsia="仿宋"/>
          <w:sz w:val="32"/>
          <w:szCs w:val="32"/>
        </w:rPr>
        <w:t xml:space="preserve">  </w:t>
      </w:r>
      <w:r>
        <w:rPr>
          <w:rFonts w:hint="eastAsia" w:ascii="仿宋" w:hAnsi="仿宋" w:eastAsia="仿宋"/>
          <w:sz w:val="32"/>
          <w:szCs w:val="32"/>
        </w:rPr>
        <w:t>公务卡卡片和密码均由持卡人个人负责保管和使用。持卡人信息变动、卡片遗失或损毁后的挂失、补办等事项，均由持卡人自行到发卡银行申请办理，并应及时通知财务处和发卡银行维护公务卡支持系统。</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第九条</w:t>
      </w:r>
      <w:r>
        <w:rPr>
          <w:rFonts w:ascii="仿宋" w:hAnsi="仿宋" w:eastAsia="仿宋"/>
          <w:sz w:val="32"/>
          <w:szCs w:val="32"/>
        </w:rPr>
        <w:t xml:space="preserve">  </w:t>
      </w:r>
      <w:r>
        <w:rPr>
          <w:rFonts w:hint="eastAsia" w:ascii="仿宋" w:hAnsi="仿宋" w:eastAsia="仿宋"/>
          <w:sz w:val="32"/>
          <w:szCs w:val="32"/>
        </w:rPr>
        <w:t>公务卡日常对账由持卡人自行负责。发卡银行应按月向持卡人提供公务卡对账单，并按照与持卡人约定的方式，及时向持卡人提供公务卡账户资金变动情况和还款提示等重要信息。</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第十条</w:t>
      </w:r>
      <w:r>
        <w:rPr>
          <w:rFonts w:ascii="仿宋" w:hAnsi="仿宋" w:eastAsia="仿宋"/>
          <w:sz w:val="32"/>
          <w:szCs w:val="32"/>
        </w:rPr>
        <w:t xml:space="preserve">  </w:t>
      </w:r>
      <w:r>
        <w:rPr>
          <w:rFonts w:hint="eastAsia" w:ascii="仿宋" w:hAnsi="仿宋" w:eastAsia="仿宋"/>
          <w:sz w:val="32"/>
          <w:szCs w:val="32"/>
        </w:rPr>
        <w:t>持卡人对公务消费交易发生疑义，可按发卡行的相关规定等向发卡行提出交易查询。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宋体"/>
          <w:b/>
          <w:sz w:val="32"/>
          <w:szCs w:val="32"/>
        </w:rPr>
      </w:pPr>
      <w:r>
        <w:rPr>
          <w:rFonts w:hint="eastAsia" w:ascii="宋体" w:hAnsi="宋体"/>
          <w:b/>
          <w:sz w:val="32"/>
          <w:szCs w:val="32"/>
        </w:rPr>
        <w:t>第三章</w:t>
      </w:r>
      <w:r>
        <w:rPr>
          <w:rFonts w:ascii="宋体" w:hAnsi="宋体"/>
          <w:b/>
          <w:sz w:val="32"/>
          <w:szCs w:val="32"/>
        </w:rPr>
        <w:t xml:space="preserve">  </w:t>
      </w:r>
      <w:r>
        <w:rPr>
          <w:rFonts w:hint="eastAsia" w:ascii="宋体" w:hAnsi="宋体"/>
          <w:b/>
          <w:sz w:val="32"/>
          <w:szCs w:val="32"/>
        </w:rPr>
        <w:t>公务卡支付管理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第十一条</w:t>
      </w:r>
      <w:r>
        <w:rPr>
          <w:rFonts w:ascii="仿宋" w:hAnsi="仿宋" w:eastAsia="仿宋"/>
          <w:sz w:val="32"/>
          <w:szCs w:val="32"/>
        </w:rPr>
        <w:t xml:space="preserve">  </w:t>
      </w:r>
      <w:r>
        <w:rPr>
          <w:rFonts w:hint="eastAsia" w:ascii="仿宋" w:hAnsi="仿宋" w:eastAsia="仿宋"/>
          <w:sz w:val="32"/>
          <w:szCs w:val="32"/>
        </w:rPr>
        <w:t>凡列入贵州省省本级预算单位公务卡强制结算目录的公务支出项目，应按规定使用公务卡结算。已办理政府采购手续的，采购确认书认定的支付方式为</w:t>
      </w:r>
      <w:r>
        <w:rPr>
          <w:rFonts w:hint="eastAsia" w:ascii="仿宋" w:hAnsi="仿宋" w:eastAsia="仿宋"/>
          <w:color w:val="C0504D"/>
          <w:sz w:val="32"/>
          <w:szCs w:val="32"/>
        </w:rPr>
        <w:t>直接支付（或授权支付）</w:t>
      </w:r>
      <w:r>
        <w:rPr>
          <w:rFonts w:hint="eastAsia" w:ascii="仿宋" w:hAnsi="仿宋" w:eastAsia="仿宋"/>
          <w:sz w:val="32"/>
          <w:szCs w:val="32"/>
        </w:rPr>
        <w:t>的，必须以转账方式结算。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第十二条</w:t>
      </w:r>
      <w:r>
        <w:rPr>
          <w:rFonts w:ascii="仿宋" w:hAnsi="仿宋" w:eastAsia="仿宋"/>
          <w:sz w:val="32"/>
          <w:szCs w:val="32"/>
        </w:rPr>
        <w:t xml:space="preserve">  </w:t>
      </w:r>
      <w:r>
        <w:rPr>
          <w:rFonts w:hint="eastAsia" w:ascii="仿宋" w:hAnsi="仿宋" w:eastAsia="仿宋"/>
          <w:sz w:val="32"/>
          <w:szCs w:val="32"/>
        </w:rPr>
        <w:t>教职工在公务支出结算时，应在公务卡授信额度内，使用公务卡刷卡支付，并应取得经教职工签名的消费交易凭条（</w:t>
      </w:r>
      <w:r>
        <w:rPr>
          <w:rFonts w:ascii="仿宋" w:hAnsi="仿宋" w:eastAsia="仿宋"/>
          <w:sz w:val="32"/>
          <w:szCs w:val="32"/>
        </w:rPr>
        <w:t>pos</w:t>
      </w:r>
      <w:r>
        <w:rPr>
          <w:rFonts w:hint="eastAsia" w:ascii="仿宋" w:hAnsi="仿宋" w:eastAsia="仿宋"/>
          <w:sz w:val="32"/>
          <w:szCs w:val="32"/>
        </w:rPr>
        <w:t>机小票）和发票等财务报销凭证。</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第十三条</w:t>
      </w:r>
      <w:r>
        <w:rPr>
          <w:rFonts w:ascii="仿宋" w:hAnsi="仿宋" w:eastAsia="仿宋"/>
          <w:sz w:val="32"/>
          <w:szCs w:val="32"/>
        </w:rPr>
        <w:t xml:space="preserve">  </w:t>
      </w:r>
      <w:r>
        <w:rPr>
          <w:rFonts w:hint="eastAsia" w:ascii="仿宋" w:hAnsi="仿宋" w:eastAsia="仿宋"/>
          <w:sz w:val="32"/>
          <w:szCs w:val="32"/>
        </w:rPr>
        <w:t>特殊情况下公务卡信用额度不能满足公务支付需要时，教职工可提前向发卡行申请临时增加信用额度，增加的额度和使用期限等具体事项，按照发卡银行有关规定执行。</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第十四条</w:t>
      </w:r>
      <w:r>
        <w:rPr>
          <w:rFonts w:ascii="仿宋" w:hAnsi="仿宋" w:eastAsia="仿宋"/>
          <w:sz w:val="32"/>
          <w:szCs w:val="32"/>
        </w:rPr>
        <w:t xml:space="preserve">  </w:t>
      </w:r>
      <w:r>
        <w:rPr>
          <w:rFonts w:hint="eastAsia" w:ascii="仿宋" w:hAnsi="仿宋" w:eastAsia="仿宋"/>
          <w:sz w:val="32"/>
          <w:szCs w:val="32"/>
        </w:rPr>
        <w:t>公务卡公务支出不允许提取现金。对公务卡提现行为，视同个人支付行为，提现手续费等费用由持卡人承担。</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第十五条</w:t>
      </w:r>
      <w:r>
        <w:rPr>
          <w:rFonts w:ascii="仿宋" w:hAnsi="仿宋" w:eastAsia="仿宋"/>
          <w:sz w:val="32"/>
          <w:szCs w:val="32"/>
        </w:rPr>
        <w:t xml:space="preserve">  </w:t>
      </w:r>
      <w:r>
        <w:rPr>
          <w:rFonts w:hint="eastAsia" w:ascii="仿宋" w:hAnsi="仿宋" w:eastAsia="仿宋"/>
          <w:sz w:val="32"/>
          <w:szCs w:val="32"/>
        </w:rPr>
        <w:t>公务卡主要用于公务支出的支付结算。公务支出发生后，持卡人应及时到财务处办理报销手续。公务卡也可用于个人支付结算业务，但学院不承担私人消费行为导致的一切责任。</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第十六条</w:t>
      </w:r>
      <w:r>
        <w:rPr>
          <w:rFonts w:ascii="仿宋" w:hAnsi="仿宋" w:eastAsia="仿宋"/>
          <w:sz w:val="32"/>
          <w:szCs w:val="32"/>
        </w:rPr>
        <w:t xml:space="preserve">  </w:t>
      </w:r>
      <w:r>
        <w:rPr>
          <w:rFonts w:hint="eastAsia" w:ascii="仿宋" w:hAnsi="仿宋" w:eastAsia="仿宋"/>
          <w:sz w:val="32"/>
          <w:szCs w:val="32"/>
        </w:rPr>
        <w:t>结合当前实际情况，属于下列情况之一的，可在下列范围内使用现金结算：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（一）确需使用现金发放的慰问金或其他抚恤救济性支出；</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（二）其他因特殊情况确实不能使用公务卡结算的，应报财务处批准。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宋体"/>
          <w:b/>
          <w:sz w:val="32"/>
          <w:szCs w:val="32"/>
        </w:rPr>
      </w:pPr>
      <w:r>
        <w:rPr>
          <w:rFonts w:hint="eastAsia" w:ascii="宋体" w:hAnsi="宋体"/>
          <w:b/>
          <w:sz w:val="32"/>
          <w:szCs w:val="32"/>
        </w:rPr>
        <w:t>第四章</w:t>
      </w:r>
      <w:r>
        <w:rPr>
          <w:rFonts w:ascii="宋体" w:hAnsi="宋体"/>
          <w:b/>
          <w:sz w:val="32"/>
          <w:szCs w:val="32"/>
        </w:rPr>
        <w:t xml:space="preserve">  </w:t>
      </w:r>
      <w:r>
        <w:rPr>
          <w:rFonts w:hint="eastAsia" w:ascii="宋体" w:hAnsi="宋体"/>
          <w:b/>
          <w:sz w:val="32"/>
          <w:szCs w:val="32"/>
        </w:rPr>
        <w:t>公务卡财务报销管理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宋体"/>
          <w:b/>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第十七条</w:t>
      </w:r>
      <w:r>
        <w:rPr>
          <w:rFonts w:ascii="仿宋" w:hAnsi="仿宋" w:eastAsia="仿宋"/>
          <w:sz w:val="32"/>
          <w:szCs w:val="32"/>
        </w:rPr>
        <w:t xml:space="preserve">  </w:t>
      </w:r>
      <w:r>
        <w:rPr>
          <w:rFonts w:hint="eastAsia" w:ascii="仿宋" w:hAnsi="仿宋" w:eastAsia="仿宋"/>
          <w:sz w:val="32"/>
          <w:szCs w:val="32"/>
        </w:rPr>
        <w:t>教职工使用公务卡结算的各项公务支出，必须在发卡行规定的免息还款期前</w:t>
      </w:r>
      <w:r>
        <w:rPr>
          <w:rFonts w:ascii="仿宋" w:hAnsi="仿宋" w:eastAsia="仿宋"/>
          <w:sz w:val="32"/>
          <w:szCs w:val="32"/>
        </w:rPr>
        <w:t>10</w:t>
      </w:r>
      <w:r>
        <w:rPr>
          <w:rFonts w:hint="eastAsia" w:ascii="仿宋" w:hAnsi="仿宋" w:eastAsia="仿宋"/>
          <w:sz w:val="32"/>
          <w:szCs w:val="32"/>
        </w:rPr>
        <w:t>个工作日内，整理所有公务消费的正规原始发票和经本人签名的公务卡消费交易凭条（</w:t>
      </w:r>
      <w:r>
        <w:rPr>
          <w:rFonts w:ascii="仿宋" w:hAnsi="仿宋" w:eastAsia="仿宋"/>
          <w:sz w:val="32"/>
          <w:szCs w:val="32"/>
        </w:rPr>
        <w:t>pos</w:t>
      </w:r>
      <w:r>
        <w:rPr>
          <w:rFonts w:hint="eastAsia" w:ascii="仿宋" w:hAnsi="仿宋" w:eastAsia="仿宋"/>
          <w:sz w:val="32"/>
          <w:szCs w:val="32"/>
        </w:rPr>
        <w:t>机小票），按照学院现行财务管理制度和报销审批程序到财务处报销。因报销不及时造成的罚息、滞纳金等相关费用，以及由此带来的对个人资信影响等责任，由持卡人承担。</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第十八条</w:t>
      </w:r>
      <w:r>
        <w:rPr>
          <w:rFonts w:ascii="仿宋" w:hAnsi="仿宋" w:eastAsia="仿宋"/>
          <w:sz w:val="32"/>
          <w:szCs w:val="32"/>
        </w:rPr>
        <w:t xml:space="preserve">  </w:t>
      </w:r>
      <w:r>
        <w:rPr>
          <w:rFonts w:hint="eastAsia" w:ascii="仿宋" w:hAnsi="仿宋" w:eastAsia="仿宋"/>
          <w:sz w:val="32"/>
          <w:szCs w:val="32"/>
        </w:rPr>
        <w:t>持卡人使用公务卡消费结算的各项支出，在提交财务处审核报销之前属于个人消费行为，报销时，财务处按照现行财务制度对公务卡刷卡消费凭证进行合规性审核，对符合报销条件的予以报销；对不符合报销条件的，不予报销，由持卡人自行偿还。</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第十九条</w:t>
      </w:r>
      <w:r>
        <w:rPr>
          <w:rFonts w:ascii="仿宋" w:hAnsi="仿宋" w:eastAsia="仿宋"/>
          <w:sz w:val="32"/>
          <w:szCs w:val="32"/>
        </w:rPr>
        <w:t xml:space="preserve">  </w:t>
      </w:r>
      <w:r>
        <w:rPr>
          <w:rFonts w:hint="eastAsia" w:ascii="仿宋" w:hAnsi="仿宋" w:eastAsia="仿宋"/>
          <w:sz w:val="32"/>
          <w:szCs w:val="32"/>
        </w:rPr>
        <w:t>刷卡交易凭条（</w:t>
      </w:r>
      <w:r>
        <w:rPr>
          <w:rFonts w:ascii="仿宋" w:hAnsi="仿宋" w:eastAsia="仿宋"/>
          <w:sz w:val="32"/>
          <w:szCs w:val="32"/>
        </w:rPr>
        <w:t>pos</w:t>
      </w:r>
      <w:r>
        <w:rPr>
          <w:rFonts w:hint="eastAsia" w:ascii="仿宋" w:hAnsi="仿宋" w:eastAsia="仿宋"/>
          <w:sz w:val="32"/>
          <w:szCs w:val="32"/>
        </w:rPr>
        <w:t>机小票）为公务卡结算报销的必备凭证。凭条上的商户名称和消费金额应与发票上的信息严格相符。特殊情况下如果未取得（如：网上购物）或不慎遗失消费交易凭条，持卡人须提供银行对账单，以及向财务处提供书面说明，包括交易时间、地点、金额、公务卡号，财务处查询核实后进行报销，并将此说明作为凭证附件。</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第二十条</w:t>
      </w:r>
      <w:r>
        <w:rPr>
          <w:rFonts w:ascii="仿宋" w:hAnsi="仿宋" w:eastAsia="仿宋"/>
          <w:sz w:val="32"/>
          <w:szCs w:val="32"/>
        </w:rPr>
        <w:t xml:space="preserve">  </w:t>
      </w:r>
      <w:r>
        <w:rPr>
          <w:rFonts w:hint="eastAsia" w:ascii="仿宋" w:hAnsi="仿宋" w:eastAsia="仿宋"/>
          <w:sz w:val="32"/>
          <w:szCs w:val="32"/>
        </w:rPr>
        <w:t>确因工作需要，持卡人不能在规定的免息还款期内返回学院办理财务报销手续的，可由持卡人委托所在部门（单位）相关人员持报销凭证到财务处办理报销手续；或由持卡人先行偿还欠款，再按正常程序申请报销，经财务处审核后将报销资金转到公务卡卡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第二十一条</w:t>
      </w:r>
      <w:r>
        <w:rPr>
          <w:rFonts w:ascii="仿宋" w:hAnsi="仿宋" w:eastAsia="仿宋"/>
          <w:sz w:val="32"/>
          <w:szCs w:val="32"/>
        </w:rPr>
        <w:t xml:space="preserve">  </w:t>
      </w:r>
      <w:r>
        <w:rPr>
          <w:rFonts w:hint="eastAsia" w:ascii="仿宋" w:hAnsi="仿宋" w:eastAsia="仿宋"/>
          <w:sz w:val="32"/>
          <w:szCs w:val="32"/>
        </w:rPr>
        <w:t>下列情况不予报销，发生费用由持卡人个人承担：</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（一）个人消费支出；</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（二）报销费用与提供的发票、消费交易凭条、消费清单不符的；</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（三）持卡人利用公务卡套现、透支提取现金所产生的手续费、利息等费用；</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（四）因个人原因造成还款不及时所产生的罚息、滞纳金等费用；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（五）因持卡人保管不慎或遗失等原因，导致公务卡被盗刷所形成的支出和损失；</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（六）不符合报销规定的和超出报销标准的支出；</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（七）其他不符合财务管理规定和要求的。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第二十二条</w:t>
      </w:r>
      <w:r>
        <w:rPr>
          <w:rFonts w:ascii="仿宋" w:hAnsi="仿宋" w:eastAsia="仿宋"/>
          <w:sz w:val="32"/>
          <w:szCs w:val="32"/>
        </w:rPr>
        <w:t xml:space="preserve">  </w:t>
      </w:r>
      <w:r>
        <w:rPr>
          <w:rFonts w:hint="eastAsia" w:ascii="仿宋" w:hAnsi="仿宋" w:eastAsia="仿宋"/>
          <w:sz w:val="32"/>
          <w:szCs w:val="32"/>
        </w:rPr>
        <w:t>个人补贴等需现金支付部分可通过相关账户转入公务卡或个人工资卡。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第二十三条</w:t>
      </w:r>
      <w:r>
        <w:rPr>
          <w:rFonts w:ascii="仿宋" w:hAnsi="仿宋" w:eastAsia="仿宋"/>
          <w:sz w:val="32"/>
          <w:szCs w:val="32"/>
        </w:rPr>
        <w:t xml:space="preserve">  </w:t>
      </w:r>
      <w:r>
        <w:rPr>
          <w:rFonts w:hint="eastAsia" w:ascii="仿宋" w:hAnsi="仿宋" w:eastAsia="仿宋"/>
          <w:sz w:val="32"/>
          <w:szCs w:val="32"/>
        </w:rPr>
        <w:t>实行公务卡结算方式后，原则上学院不再向教职工个人办理现金借款。教职工应优先在具有刷卡条件的商户进行公务消费，对于不具备刷卡环境而又确需进行公务消费的，应由个人先行垫付资金，而后按照财务报销审批程序进行报销。特殊情况需向教职工个人办理借款的，须经所在部门（单位）、相关经费主管部门和财务处批准。</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第二十四条</w:t>
      </w:r>
      <w:r>
        <w:rPr>
          <w:rFonts w:ascii="仿宋" w:hAnsi="仿宋" w:eastAsia="仿宋"/>
          <w:sz w:val="32"/>
          <w:szCs w:val="32"/>
        </w:rPr>
        <w:t xml:space="preserve">  </w:t>
      </w:r>
      <w:r>
        <w:rPr>
          <w:rFonts w:hint="eastAsia" w:ascii="仿宋" w:hAnsi="仿宋" w:eastAsia="仿宋"/>
          <w:sz w:val="32"/>
          <w:szCs w:val="32"/>
        </w:rPr>
        <w:t>公务卡刷卡消费后因退货（消费撤销）等原因导致退款的，持卡人应及时通过转账方式将资金退回学院原支付账户。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宋体"/>
          <w:b/>
          <w:sz w:val="32"/>
          <w:szCs w:val="32"/>
        </w:rPr>
      </w:pPr>
      <w:r>
        <w:rPr>
          <w:rFonts w:hint="eastAsia" w:ascii="宋体" w:hAnsi="宋体"/>
          <w:b/>
          <w:sz w:val="32"/>
          <w:szCs w:val="32"/>
        </w:rPr>
        <w:t>第五章</w:t>
      </w:r>
      <w:r>
        <w:rPr>
          <w:rFonts w:ascii="宋体" w:hAnsi="宋体"/>
          <w:b/>
          <w:sz w:val="32"/>
          <w:szCs w:val="32"/>
        </w:rPr>
        <w:t xml:space="preserve">  </w:t>
      </w:r>
      <w:r>
        <w:rPr>
          <w:rFonts w:hint="eastAsia" w:ascii="宋体" w:hAnsi="宋体"/>
          <w:b/>
          <w:sz w:val="32"/>
          <w:szCs w:val="32"/>
        </w:rPr>
        <w:t>附</w:t>
      </w:r>
      <w:r>
        <w:rPr>
          <w:rFonts w:ascii="宋体" w:hAnsi="宋体"/>
          <w:b/>
          <w:sz w:val="32"/>
          <w:szCs w:val="32"/>
        </w:rPr>
        <w:t xml:space="preserve">  </w:t>
      </w:r>
      <w:r>
        <w:rPr>
          <w:rFonts w:hint="eastAsia" w:ascii="宋体" w:hAnsi="宋体"/>
          <w:b/>
          <w:sz w:val="32"/>
          <w:szCs w:val="32"/>
        </w:rPr>
        <w:t>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第二十八条</w:t>
      </w:r>
      <w:r>
        <w:rPr>
          <w:rFonts w:ascii="仿宋" w:hAnsi="仿宋" w:eastAsia="仿宋"/>
          <w:sz w:val="32"/>
          <w:szCs w:val="32"/>
        </w:rPr>
        <w:t xml:space="preserve">  </w:t>
      </w:r>
      <w:r>
        <w:rPr>
          <w:rFonts w:hint="eastAsia" w:ascii="仿宋" w:hAnsi="仿宋" w:eastAsia="仿宋"/>
          <w:sz w:val="32"/>
          <w:szCs w:val="32"/>
        </w:rPr>
        <w:t>本办法未尽事宜，有相关规定的，按相关规定执行，没有相关规定的，由财务处负责解释。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第二十九条</w:t>
      </w:r>
      <w:r>
        <w:rPr>
          <w:rFonts w:ascii="仿宋" w:hAnsi="仿宋" w:eastAsia="仿宋"/>
          <w:sz w:val="32"/>
          <w:szCs w:val="32"/>
        </w:rPr>
        <w:t xml:space="preserve">  </w:t>
      </w:r>
      <w:r>
        <w:rPr>
          <w:rFonts w:hint="eastAsia" w:ascii="仿宋" w:hAnsi="仿宋" w:eastAsia="仿宋"/>
          <w:sz w:val="32"/>
          <w:szCs w:val="32"/>
        </w:rPr>
        <w:t>本办法由公布之日起执行。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ascii="仿宋" w:hAnsi="仿宋" w:eastAsia="仿宋"/>
          <w:sz w:val="32"/>
          <w:szCs w:val="32"/>
        </w:rPr>
      </w:pPr>
      <w:r>
        <w:rPr>
          <w:rFonts w:hint="eastAsia" w:ascii="仿宋" w:hAnsi="仿宋" w:eastAsia="仿宋"/>
          <w:sz w:val="32"/>
          <w:szCs w:val="32"/>
        </w:rPr>
        <w:t>附：贵州省省本级预算单位公务卡强制结算目录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left"/>
        <w:rPr>
          <w:rFonts w:hint="eastAsia" w:ascii="黑体" w:hAnsi="黑体" w:eastAsia="黑体" w:cs="黑体"/>
          <w:b/>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贵州省省本级预算单位公务卡强制结算目录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b/>
          <w:sz w:val="15"/>
          <w:szCs w:val="15"/>
        </w:rPr>
      </w:pPr>
    </w:p>
    <w:tbl>
      <w:tblPr>
        <w:tblStyle w:val="10"/>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666"/>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080"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b/>
                <w:sz w:val="30"/>
                <w:szCs w:val="30"/>
              </w:rPr>
            </w:pPr>
            <w:r>
              <w:rPr>
                <w:rFonts w:hint="eastAsia" w:ascii="仿宋" w:hAnsi="仿宋" w:eastAsia="仿宋" w:cs="仿宋"/>
                <w:b/>
                <w:sz w:val="30"/>
                <w:szCs w:val="30"/>
              </w:rPr>
              <w:t>序号</w:t>
            </w:r>
          </w:p>
        </w:tc>
        <w:tc>
          <w:tcPr>
            <w:tcW w:w="1666"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b/>
                <w:sz w:val="30"/>
                <w:szCs w:val="30"/>
              </w:rPr>
            </w:pPr>
            <w:r>
              <w:rPr>
                <w:rFonts w:hint="eastAsia" w:ascii="仿宋" w:hAnsi="仿宋" w:eastAsia="仿宋" w:cs="仿宋"/>
                <w:b/>
                <w:sz w:val="30"/>
                <w:szCs w:val="30"/>
              </w:rPr>
              <w:t>公务卡结算项目</w:t>
            </w:r>
          </w:p>
        </w:tc>
        <w:tc>
          <w:tcPr>
            <w:tcW w:w="6254"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b/>
                <w:sz w:val="30"/>
                <w:szCs w:val="30"/>
              </w:rPr>
            </w:pPr>
            <w:r>
              <w:rPr>
                <w:rFonts w:hint="eastAsia" w:ascii="仿宋" w:hAnsi="仿宋" w:eastAsia="仿宋" w:cs="仿宋"/>
                <w:b/>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8" w:hRule="atLeast"/>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sz w:val="30"/>
                <w:szCs w:val="30"/>
              </w:rPr>
            </w:pPr>
            <w:r>
              <w:rPr>
                <w:rFonts w:hint="eastAsia" w:ascii="仿宋" w:hAnsi="仿宋" w:eastAsia="仿宋" w:cs="仿宋"/>
                <w:sz w:val="30"/>
                <w:szCs w:val="30"/>
              </w:rPr>
              <w:t>1</w:t>
            </w:r>
          </w:p>
        </w:tc>
        <w:tc>
          <w:tcPr>
            <w:tcW w:w="166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sz w:val="30"/>
                <w:szCs w:val="30"/>
              </w:rPr>
            </w:pPr>
            <w:r>
              <w:rPr>
                <w:rFonts w:hint="eastAsia" w:ascii="仿宋" w:hAnsi="仿宋" w:eastAsia="仿宋" w:cs="仿宋"/>
                <w:sz w:val="30"/>
                <w:szCs w:val="30"/>
              </w:rPr>
              <w:t>办公费</w:t>
            </w:r>
          </w:p>
        </w:tc>
        <w:tc>
          <w:tcPr>
            <w:tcW w:w="625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30"/>
                <w:szCs w:val="30"/>
              </w:rPr>
            </w:pPr>
            <w:r>
              <w:rPr>
                <w:rFonts w:hint="eastAsia" w:ascii="仿宋" w:hAnsi="仿宋" w:eastAsia="仿宋" w:cs="仿宋"/>
                <w:sz w:val="30"/>
                <w:szCs w:val="30"/>
              </w:rPr>
              <w:t>单位购买按财务会计制度规定不符合固定资产确认标准的日常办公用品、书报杂志等支出。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sz w:val="30"/>
                <w:szCs w:val="30"/>
              </w:rPr>
            </w:pPr>
            <w:r>
              <w:rPr>
                <w:rFonts w:hint="eastAsia" w:ascii="仿宋" w:hAnsi="仿宋" w:eastAsia="仿宋" w:cs="仿宋"/>
                <w:sz w:val="30"/>
                <w:szCs w:val="30"/>
              </w:rPr>
              <w:t>2</w:t>
            </w:r>
          </w:p>
        </w:tc>
        <w:tc>
          <w:tcPr>
            <w:tcW w:w="166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sz w:val="30"/>
                <w:szCs w:val="30"/>
              </w:rPr>
            </w:pPr>
            <w:r>
              <w:rPr>
                <w:rFonts w:hint="eastAsia" w:ascii="仿宋" w:hAnsi="仿宋" w:eastAsia="仿宋" w:cs="仿宋"/>
                <w:sz w:val="30"/>
                <w:szCs w:val="30"/>
              </w:rPr>
              <w:t>印刷费</w:t>
            </w:r>
          </w:p>
        </w:tc>
        <w:tc>
          <w:tcPr>
            <w:tcW w:w="625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30"/>
                <w:szCs w:val="30"/>
              </w:rPr>
            </w:pPr>
            <w:r>
              <w:rPr>
                <w:rFonts w:hint="eastAsia" w:ascii="仿宋" w:hAnsi="仿宋" w:eastAsia="仿宋" w:cs="仿宋"/>
                <w:sz w:val="30"/>
                <w:szCs w:val="30"/>
              </w:rPr>
              <w:t>单位的印刷费支出。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sz w:val="30"/>
                <w:szCs w:val="30"/>
              </w:rPr>
            </w:pPr>
            <w:r>
              <w:rPr>
                <w:rFonts w:hint="eastAsia" w:ascii="仿宋" w:hAnsi="仿宋" w:eastAsia="仿宋" w:cs="仿宋"/>
                <w:sz w:val="30"/>
                <w:szCs w:val="30"/>
              </w:rPr>
              <w:t>3</w:t>
            </w:r>
          </w:p>
        </w:tc>
        <w:tc>
          <w:tcPr>
            <w:tcW w:w="166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sz w:val="30"/>
                <w:szCs w:val="30"/>
              </w:rPr>
            </w:pPr>
            <w:r>
              <w:rPr>
                <w:rFonts w:hint="eastAsia" w:ascii="仿宋" w:hAnsi="仿宋" w:eastAsia="仿宋" w:cs="仿宋"/>
                <w:sz w:val="30"/>
                <w:szCs w:val="30"/>
              </w:rPr>
              <w:t>邮电费</w:t>
            </w:r>
          </w:p>
        </w:tc>
        <w:tc>
          <w:tcPr>
            <w:tcW w:w="625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30"/>
                <w:szCs w:val="30"/>
              </w:rPr>
            </w:pPr>
            <w:r>
              <w:rPr>
                <w:rFonts w:hint="eastAsia" w:ascii="仿宋" w:hAnsi="仿宋" w:eastAsia="仿宋" w:cs="仿宋"/>
                <w:sz w:val="30"/>
                <w:szCs w:val="30"/>
              </w:rPr>
              <w:t>单位开支的信函、包裹、货物等物品的邮件费及电话费、电报费、传真费、网络通信费。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8" w:hRule="atLeast"/>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sz w:val="30"/>
                <w:szCs w:val="30"/>
              </w:rPr>
            </w:pPr>
            <w:r>
              <w:rPr>
                <w:rFonts w:hint="eastAsia" w:ascii="仿宋" w:hAnsi="仿宋" w:eastAsia="仿宋" w:cs="仿宋"/>
                <w:sz w:val="30"/>
                <w:szCs w:val="30"/>
              </w:rPr>
              <w:t>4</w:t>
            </w:r>
          </w:p>
        </w:tc>
        <w:tc>
          <w:tcPr>
            <w:tcW w:w="166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sz w:val="30"/>
                <w:szCs w:val="30"/>
              </w:rPr>
            </w:pPr>
            <w:r>
              <w:rPr>
                <w:rFonts w:hint="eastAsia" w:ascii="仿宋" w:hAnsi="仿宋" w:eastAsia="仿宋" w:cs="仿宋"/>
                <w:sz w:val="30"/>
                <w:szCs w:val="30"/>
              </w:rPr>
              <w:t>差旅费</w:t>
            </w:r>
          </w:p>
        </w:tc>
        <w:tc>
          <w:tcPr>
            <w:tcW w:w="625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单位工作人员出差的住宿费、旅费（至购置机票、火车票等费用）、杂费等支出。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sz w:val="30"/>
                <w:szCs w:val="30"/>
              </w:rPr>
            </w:pPr>
            <w:r>
              <w:rPr>
                <w:rFonts w:hint="eastAsia" w:ascii="仿宋" w:hAnsi="仿宋" w:eastAsia="仿宋" w:cs="仿宋"/>
                <w:sz w:val="30"/>
                <w:szCs w:val="30"/>
              </w:rPr>
              <w:t>5</w:t>
            </w:r>
          </w:p>
        </w:tc>
        <w:tc>
          <w:tcPr>
            <w:tcW w:w="166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sz w:val="30"/>
                <w:szCs w:val="30"/>
              </w:rPr>
            </w:pPr>
            <w:r>
              <w:rPr>
                <w:rFonts w:hint="eastAsia" w:ascii="仿宋" w:hAnsi="仿宋" w:eastAsia="仿宋" w:cs="仿宋"/>
                <w:sz w:val="30"/>
                <w:szCs w:val="30"/>
              </w:rPr>
              <w:t>会议费</w:t>
            </w:r>
          </w:p>
        </w:tc>
        <w:tc>
          <w:tcPr>
            <w:tcW w:w="625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30"/>
                <w:szCs w:val="30"/>
              </w:rPr>
            </w:pPr>
            <w:r>
              <w:rPr>
                <w:rFonts w:hint="eastAsia" w:ascii="仿宋" w:hAnsi="仿宋" w:eastAsia="仿宋" w:cs="仿宋"/>
                <w:sz w:val="30"/>
                <w:szCs w:val="30"/>
              </w:rPr>
              <w:t>会议中按规定开支的房租费、文件资料的印刷费、会议场地租用费等。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sz w:val="30"/>
                <w:szCs w:val="30"/>
              </w:rPr>
            </w:pPr>
            <w:r>
              <w:rPr>
                <w:rFonts w:hint="eastAsia" w:ascii="仿宋" w:hAnsi="仿宋" w:eastAsia="仿宋" w:cs="仿宋"/>
                <w:sz w:val="30"/>
                <w:szCs w:val="30"/>
              </w:rPr>
              <w:t>6</w:t>
            </w:r>
          </w:p>
        </w:tc>
        <w:tc>
          <w:tcPr>
            <w:tcW w:w="166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sz w:val="30"/>
                <w:szCs w:val="30"/>
              </w:rPr>
            </w:pPr>
            <w:r>
              <w:rPr>
                <w:rFonts w:hint="eastAsia" w:ascii="仿宋" w:hAnsi="仿宋" w:eastAsia="仿宋" w:cs="仿宋"/>
                <w:sz w:val="30"/>
                <w:szCs w:val="30"/>
              </w:rPr>
              <w:t>培训费</w:t>
            </w:r>
          </w:p>
        </w:tc>
        <w:tc>
          <w:tcPr>
            <w:tcW w:w="625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30"/>
                <w:szCs w:val="30"/>
              </w:rPr>
            </w:pPr>
            <w:r>
              <w:rPr>
                <w:rFonts w:hint="eastAsia" w:ascii="仿宋" w:hAnsi="仿宋" w:eastAsia="仿宋" w:cs="仿宋"/>
                <w:sz w:val="30"/>
                <w:szCs w:val="30"/>
              </w:rPr>
              <w:t>各类培训支出。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sz w:val="30"/>
                <w:szCs w:val="30"/>
              </w:rPr>
            </w:pPr>
            <w:r>
              <w:rPr>
                <w:rFonts w:hint="eastAsia" w:ascii="仿宋" w:hAnsi="仿宋" w:eastAsia="仿宋" w:cs="仿宋"/>
                <w:sz w:val="30"/>
                <w:szCs w:val="30"/>
              </w:rPr>
              <w:t>7</w:t>
            </w:r>
          </w:p>
        </w:tc>
        <w:tc>
          <w:tcPr>
            <w:tcW w:w="166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sz w:val="30"/>
                <w:szCs w:val="30"/>
              </w:rPr>
            </w:pPr>
            <w:r>
              <w:rPr>
                <w:rFonts w:hint="eastAsia" w:ascii="仿宋" w:hAnsi="仿宋" w:eastAsia="仿宋" w:cs="仿宋"/>
                <w:sz w:val="30"/>
                <w:szCs w:val="30"/>
              </w:rPr>
              <w:t>公务接待费</w:t>
            </w:r>
          </w:p>
        </w:tc>
        <w:tc>
          <w:tcPr>
            <w:tcW w:w="625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30"/>
                <w:szCs w:val="30"/>
              </w:rPr>
            </w:pPr>
            <w:r>
              <w:rPr>
                <w:rFonts w:hint="eastAsia" w:ascii="仿宋" w:hAnsi="仿宋" w:eastAsia="仿宋" w:cs="仿宋"/>
                <w:sz w:val="30"/>
                <w:szCs w:val="30"/>
              </w:rPr>
              <w:t>单位开支的公务接待费用，包括开支的餐饮费、住宿费等支出。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sz w:val="30"/>
                <w:szCs w:val="30"/>
              </w:rPr>
            </w:pPr>
            <w:r>
              <w:rPr>
                <w:rFonts w:hint="eastAsia" w:ascii="仿宋" w:hAnsi="仿宋" w:eastAsia="仿宋" w:cs="仿宋"/>
                <w:sz w:val="30"/>
                <w:szCs w:val="30"/>
              </w:rPr>
              <w:t>8</w:t>
            </w:r>
          </w:p>
        </w:tc>
        <w:tc>
          <w:tcPr>
            <w:tcW w:w="166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sz w:val="30"/>
                <w:szCs w:val="30"/>
              </w:rPr>
            </w:pPr>
            <w:r>
              <w:rPr>
                <w:rFonts w:hint="eastAsia" w:ascii="仿宋" w:hAnsi="仿宋" w:eastAsia="仿宋" w:cs="仿宋"/>
                <w:sz w:val="30"/>
                <w:szCs w:val="30"/>
              </w:rPr>
              <w:t>公务用车运行维护费</w:t>
            </w:r>
          </w:p>
        </w:tc>
        <w:tc>
          <w:tcPr>
            <w:tcW w:w="6254"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outlineLvl w:val="9"/>
              <w:rPr>
                <w:rFonts w:hint="eastAsia" w:ascii="仿宋" w:hAnsi="仿宋" w:eastAsia="仿宋" w:cs="仿宋"/>
                <w:sz w:val="30"/>
                <w:szCs w:val="30"/>
              </w:rPr>
            </w:pPr>
            <w:r>
              <w:rPr>
                <w:rFonts w:hint="eastAsia" w:ascii="仿宋" w:hAnsi="仿宋" w:eastAsia="仿宋" w:cs="仿宋"/>
                <w:sz w:val="30"/>
                <w:szCs w:val="30"/>
              </w:rPr>
              <w:t>公务用车租用费、燃料费、维修费、保险费、过路费等支出。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sz w:val="30"/>
                <w:szCs w:val="30"/>
              </w:rPr>
            </w:pPr>
            <w:r>
              <w:rPr>
                <w:rFonts w:hint="eastAsia" w:ascii="仿宋" w:hAnsi="仿宋" w:eastAsia="仿宋" w:cs="仿宋"/>
                <w:sz w:val="30"/>
                <w:szCs w:val="30"/>
              </w:rPr>
              <w:t>9</w:t>
            </w:r>
          </w:p>
        </w:tc>
        <w:tc>
          <w:tcPr>
            <w:tcW w:w="7920"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 w:hAnsi="仿宋" w:eastAsia="仿宋" w:cs="仿宋"/>
                <w:sz w:val="30"/>
                <w:szCs w:val="30"/>
              </w:rPr>
            </w:pPr>
            <w:r>
              <w:rPr>
                <w:rFonts w:hint="eastAsia" w:ascii="仿宋" w:hAnsi="仿宋" w:eastAsia="仿宋" w:cs="仿宋"/>
                <w:sz w:val="30"/>
                <w:szCs w:val="30"/>
              </w:rPr>
              <w:t>其他商品和服务支出中具备刷卡条件的项目。</w:t>
            </w:r>
          </w:p>
        </w:tc>
      </w:tr>
    </w:tbl>
    <w:p/>
    <w:p/>
    <w:p/>
    <w:p/>
    <w:p/>
    <w:p>
      <w:pPr>
        <w:keepNext w:val="0"/>
        <w:keepLines w:val="0"/>
        <w:pageBreakBefore w:val="0"/>
        <w:widowControl/>
        <w:kinsoku/>
        <w:wordWrap/>
        <w:overflowPunct/>
        <w:topLinePunct w:val="0"/>
        <w:autoSpaceDE/>
        <w:autoSpaceDN/>
        <w:bidi w:val="0"/>
        <w:adjustRightInd/>
        <w:snapToGrid/>
        <w:spacing w:line="520" w:lineRule="exact"/>
        <w:ind w:left="0" w:leftChars="0" w:right="301" w:rightChars="0"/>
        <w:jc w:val="both"/>
        <w:textAlignment w:val="auto"/>
        <w:outlineLvl w:val="9"/>
        <w:rPr>
          <w:rFonts w:hint="eastAsia" w:ascii="仿宋" w:hAnsi="仿宋" w:eastAsia="仿宋" w:cs="仿宋"/>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520" w:lineRule="exact"/>
        <w:ind w:left="0" w:leftChars="0" w:right="301" w:rightChars="0"/>
        <w:jc w:val="both"/>
        <w:textAlignment w:val="auto"/>
        <w:outlineLvl w:val="9"/>
        <w:rPr>
          <w:rFonts w:hint="eastAsia" w:ascii="仿宋" w:hAnsi="仿宋" w:eastAsia="仿宋" w:cs="仿宋"/>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520" w:lineRule="exact"/>
        <w:ind w:left="0" w:leftChars="0" w:right="301" w:rightChars="0"/>
        <w:jc w:val="both"/>
        <w:textAlignment w:val="auto"/>
        <w:outlineLvl w:val="9"/>
        <w:rPr>
          <w:rFonts w:hint="eastAsia" w:ascii="仿宋" w:hAnsi="仿宋" w:eastAsia="仿宋" w:cs="仿宋"/>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520" w:lineRule="exact"/>
        <w:ind w:left="0" w:leftChars="0" w:right="301" w:rightChars="0"/>
        <w:jc w:val="both"/>
        <w:textAlignment w:val="auto"/>
        <w:outlineLvl w:val="9"/>
        <w:rPr>
          <w:rFonts w:hint="eastAsia" w:ascii="仿宋" w:hAnsi="仿宋" w:eastAsia="仿宋" w:cs="仿宋"/>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520" w:lineRule="exact"/>
        <w:ind w:left="0" w:leftChars="0" w:right="301" w:rightChars="0"/>
        <w:jc w:val="both"/>
        <w:textAlignment w:val="auto"/>
        <w:outlineLvl w:val="9"/>
        <w:rPr>
          <w:rFonts w:hint="eastAsia" w:ascii="仿宋" w:hAnsi="仿宋" w:eastAsia="仿宋" w:cs="仿宋"/>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520" w:lineRule="exact"/>
        <w:ind w:left="0" w:leftChars="0" w:right="301" w:rightChars="0"/>
        <w:jc w:val="both"/>
        <w:textAlignment w:val="auto"/>
        <w:outlineLvl w:val="9"/>
        <w:rPr>
          <w:rFonts w:hint="eastAsia" w:ascii="仿宋" w:hAnsi="仿宋" w:eastAsia="仿宋" w:cs="仿宋"/>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520" w:lineRule="exact"/>
        <w:ind w:left="0" w:leftChars="0" w:right="301" w:rightChars="0"/>
        <w:jc w:val="both"/>
        <w:textAlignment w:val="auto"/>
        <w:outlineLvl w:val="9"/>
        <w:rPr>
          <w:rFonts w:hint="eastAsia" w:ascii="仿宋" w:hAnsi="仿宋" w:eastAsia="仿宋" w:cs="仿宋"/>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520" w:lineRule="exact"/>
        <w:ind w:left="0" w:leftChars="0" w:right="301" w:rightChars="0"/>
        <w:jc w:val="both"/>
        <w:textAlignment w:val="auto"/>
        <w:outlineLvl w:val="9"/>
        <w:rPr>
          <w:rFonts w:hint="eastAsia" w:ascii="仿宋" w:hAnsi="仿宋" w:eastAsia="仿宋" w:cs="仿宋"/>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520" w:lineRule="exact"/>
        <w:ind w:left="0" w:leftChars="0" w:right="301" w:rightChars="0"/>
        <w:jc w:val="both"/>
        <w:textAlignment w:val="auto"/>
        <w:outlineLvl w:val="9"/>
        <w:rPr>
          <w:rFonts w:hint="eastAsia" w:ascii="仿宋" w:hAnsi="仿宋" w:eastAsia="仿宋" w:cs="仿宋"/>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520" w:lineRule="exact"/>
        <w:ind w:left="0" w:leftChars="0" w:right="301" w:rightChars="0"/>
        <w:jc w:val="both"/>
        <w:textAlignment w:val="auto"/>
        <w:outlineLvl w:val="9"/>
        <w:rPr>
          <w:rFonts w:hint="eastAsia" w:ascii="仿宋" w:hAnsi="仿宋" w:eastAsia="仿宋" w:cs="仿宋"/>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520" w:lineRule="exact"/>
        <w:ind w:left="0" w:leftChars="0" w:right="301" w:rightChars="0"/>
        <w:jc w:val="both"/>
        <w:textAlignment w:val="auto"/>
        <w:outlineLvl w:val="9"/>
        <w:rPr>
          <w:rFonts w:hint="eastAsia" w:ascii="仿宋" w:hAnsi="仿宋" w:eastAsia="仿宋" w:cs="仿宋"/>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520" w:lineRule="exact"/>
        <w:ind w:left="0" w:leftChars="0" w:right="301" w:rightChars="0"/>
        <w:jc w:val="both"/>
        <w:textAlignment w:val="auto"/>
        <w:outlineLvl w:val="9"/>
        <w:rPr>
          <w:rFonts w:hint="eastAsia" w:ascii="仿宋" w:hAnsi="仿宋" w:eastAsia="仿宋" w:cs="仿宋"/>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300" w:rightChars="0" w:firstLine="0" w:firstLineChars="0"/>
        <w:jc w:val="both"/>
        <w:textAlignment w:val="auto"/>
        <w:outlineLvl w:val="9"/>
        <w:rPr>
          <w:rFonts w:hint="eastAsia" w:ascii="仿宋" w:hAnsi="仿宋" w:eastAsia="仿宋" w:cs="仿宋"/>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300" w:rightChars="0" w:firstLine="0" w:firstLineChars="0"/>
        <w:jc w:val="both"/>
        <w:textAlignment w:val="auto"/>
        <w:outlineLvl w:val="9"/>
        <w:rPr>
          <w:rFonts w:hint="eastAsia" w:ascii="仿宋" w:hAnsi="仿宋" w:eastAsia="仿宋" w:cs="仿宋"/>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300" w:rightChars="0" w:firstLine="0" w:firstLineChars="0"/>
        <w:jc w:val="both"/>
        <w:textAlignment w:val="auto"/>
        <w:outlineLvl w:val="9"/>
        <w:rPr>
          <w:rFonts w:hint="eastAsia" w:ascii="仿宋" w:hAnsi="仿宋" w:eastAsia="仿宋" w:cs="仿宋"/>
          <w:color w:val="333333"/>
          <w:kern w:val="0"/>
          <w:sz w:val="32"/>
          <w:szCs w:val="32"/>
        </w:rPr>
      </w:pP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left="0" w:leftChars="0" w:right="300" w:rightChars="0" w:firstLine="0" w:firstLineChars="0"/>
        <w:jc w:val="both"/>
        <w:textAlignment w:val="auto"/>
        <w:outlineLvl w:val="9"/>
        <w:rPr>
          <w:rFonts w:hint="eastAsia" w:ascii="仿宋" w:hAnsi="仿宋" w:eastAsia="仿宋" w:cs="仿宋"/>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300" w:rightChars="0" w:firstLine="0" w:firstLineChars="0"/>
        <w:jc w:val="both"/>
        <w:textAlignment w:val="auto"/>
        <w:outlineLvl w:val="9"/>
        <w:rPr>
          <w:rFonts w:hint="eastAsia" w:ascii="仿宋" w:hAnsi="仿宋" w:eastAsia="仿宋" w:cs="仿宋"/>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300" w:rightChars="0" w:firstLine="0" w:firstLineChars="0"/>
        <w:jc w:val="both"/>
        <w:textAlignment w:val="auto"/>
        <w:outlineLvl w:val="9"/>
        <w:rPr>
          <w:rFonts w:hint="eastAsia" w:ascii="仿宋" w:hAnsi="仿宋" w:eastAsia="仿宋" w:cs="仿宋"/>
          <w:color w:val="333333"/>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 w:hAnsi="仿宋" w:eastAsia="仿宋" w:cs="仿宋"/>
          <w:b/>
          <w:bCs/>
          <w:sz w:val="28"/>
          <w:szCs w:val="28"/>
          <w:lang w:eastAsia="zh-CN"/>
        </w:rPr>
      </w:pPr>
    </w:p>
    <w:tbl>
      <w:tblPr>
        <w:tblStyle w:val="10"/>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8880" w:type="dxa"/>
            <w:tcBorders>
              <w:left w:val="nil"/>
              <w:right w:val="nil"/>
            </w:tcBorders>
            <w:vAlign w:val="top"/>
          </w:tcPr>
          <w:p>
            <w:pPr>
              <w:keepNext w:val="0"/>
              <w:keepLines w:val="0"/>
              <w:pageBreakBefore w:val="0"/>
              <w:kinsoku/>
              <w:wordWrap/>
              <w:overflowPunct/>
              <w:topLinePunct w:val="0"/>
              <w:autoSpaceDE/>
              <w:autoSpaceDN/>
              <w:bidi w:val="0"/>
              <w:adjustRightInd/>
              <w:snapToGrid/>
              <w:spacing w:line="520" w:lineRule="exact"/>
              <w:textAlignment w:val="auto"/>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贵州商学院院长办公室</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ascii="仿宋" w:hAnsi="仿宋" w:eastAsia="仿宋" w:cs="仿宋"/>
                <w:sz w:val="28"/>
                <w:szCs w:val="28"/>
              </w:rPr>
              <w:t>201</w:t>
            </w:r>
            <w:r>
              <w:rPr>
                <w:rFonts w:hint="eastAsia" w:ascii="仿宋" w:hAnsi="仿宋" w:eastAsia="仿宋" w:cs="仿宋"/>
                <w:sz w:val="28"/>
                <w:szCs w:val="28"/>
                <w:lang w:val="en-US" w:eastAsia="zh-CN"/>
              </w:rPr>
              <w:t>8</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日印发</w:t>
            </w:r>
          </w:p>
        </w:tc>
      </w:tr>
    </w:tbl>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right="300"/>
        <w:jc w:val="both"/>
        <w:textAlignment w:val="auto"/>
        <w:outlineLvl w:val="9"/>
      </w:pPr>
      <w:r>
        <w:rPr>
          <w:sz w:val="28"/>
          <w:szCs w:val="28"/>
        </w:rPr>
        <w:t xml:space="preserve">                                    </w:t>
      </w:r>
      <w:r>
        <w:rPr>
          <w:rFonts w:hint="eastAsia"/>
          <w:sz w:val="28"/>
          <w:szCs w:val="28"/>
          <w:lang w:val="en-US" w:eastAsia="zh-CN"/>
        </w:rPr>
        <w:t xml:space="preserve"> </w:t>
      </w:r>
      <w:r>
        <w:rPr>
          <w:sz w:val="28"/>
          <w:szCs w:val="28"/>
        </w:rPr>
        <w:t xml:space="preserve">      </w:t>
      </w:r>
      <w:r>
        <w:rPr>
          <w:rFonts w:hint="eastAsia"/>
          <w:sz w:val="28"/>
          <w:szCs w:val="28"/>
          <w:lang w:val="en-US" w:eastAsia="zh-CN"/>
        </w:rPr>
        <w:t xml:space="preserve">     </w:t>
      </w:r>
      <w:r>
        <w:rPr>
          <w:rFonts w:hint="eastAsia" w:ascii="仿宋" w:hAnsi="仿宋" w:eastAsia="仿宋" w:cs="仿宋"/>
          <w:sz w:val="28"/>
          <w:szCs w:val="28"/>
        </w:rPr>
        <w:t>共印</w:t>
      </w:r>
      <w:r>
        <w:rPr>
          <w:rFonts w:hint="eastAsia" w:ascii="仿宋" w:hAnsi="仿宋" w:eastAsia="仿宋" w:cs="仿宋"/>
          <w:sz w:val="28"/>
          <w:szCs w:val="28"/>
          <w:lang w:val="en-US" w:eastAsia="zh-CN"/>
        </w:rPr>
        <w:t>10</w:t>
      </w:r>
      <w:r>
        <w:rPr>
          <w:rFonts w:hint="eastAsia" w:ascii="仿宋" w:hAnsi="仿宋" w:eastAsia="仿宋" w:cs="仿宋"/>
          <w:sz w:val="28"/>
          <w:szCs w:val="28"/>
        </w:rPr>
        <w:t>份</w:t>
      </w:r>
      <w:r>
        <w:rPr>
          <w:rFonts w:hint="eastAsia" w:ascii="仿宋" w:hAnsi="仿宋" w:eastAsia="仿宋" w:cs="仿宋"/>
          <w:sz w:val="32"/>
          <w:szCs w:val="32"/>
        </w:rPr>
        <w:t xml:space="preserve"> </w:t>
      </w:r>
    </w:p>
    <w:sectPr>
      <w:footerReference r:id="rId3" w:type="default"/>
      <w:pgSz w:w="11906" w:h="16838"/>
      <w:pgMar w:top="2098" w:right="1474" w:bottom="1984" w:left="1587" w:header="0" w:footer="0" w:gutter="0"/>
      <w:pgNumType w:fmt="decimal"/>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9"/>
        <w:rFonts w:hint="eastAsia" w:ascii="宋体" w:hAnsi="宋体" w:eastAsia="宋体" w:cs="宋体"/>
        <w:sz w:val="28"/>
        <w:szCs w:val="28"/>
      </w:rPr>
    </w:pPr>
    <w:r>
      <w:rPr>
        <w:sz w:val="28"/>
      </w:rPr>
      <w:pict>
        <v:shape id="_x0000_s2050" o:spid="_x0000_s2050" o:spt="202" type="#_x0000_t202" style="position:absolute;left:0pt;margin-top:-60.75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noLineBreaksAfter w:lang="zh-CN" w:val="$([{£¥·‘“〈《「『【〔〖〝﹙﹛﹝＄（．［｛￡￥"/>
  <w:noLineBreaksBefore w:lang="zh-CN" w:val="!%),.:;&gt;?]}¢¨°·ˇˉ―‖’”…‰′″›℃∶、。〃〉》」』】〕〗〞︶︺︾﹀﹄﹚﹜﹞！＂％＇），．：；？］｀｜｝～￠"/>
  <w:hdrShapeDefaults>
    <o:shapelayout v:ext="edit">
      <o:idmap v:ext="edit" data="2"/>
    </o:shapelayout>
  </w:hdrShapeDefault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083"/>
    <w:rsid w:val="0009130D"/>
    <w:rsid w:val="000C5E08"/>
    <w:rsid w:val="001D18A9"/>
    <w:rsid w:val="00302945"/>
    <w:rsid w:val="004C6666"/>
    <w:rsid w:val="005E3C8A"/>
    <w:rsid w:val="00742083"/>
    <w:rsid w:val="008969F9"/>
    <w:rsid w:val="009B65E3"/>
    <w:rsid w:val="02824F14"/>
    <w:rsid w:val="1C4F6AF8"/>
    <w:rsid w:val="31564CC5"/>
    <w:rsid w:val="3AFA0F9F"/>
    <w:rsid w:val="47C671EF"/>
    <w:rsid w:val="68FC6EC7"/>
    <w:rsid w:val="7C5F704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0"/>
      <w:sz w:val="21"/>
      <w:szCs w:val="22"/>
      <w:lang w:val="en-US" w:eastAsia="zh-CN" w:bidi="ar-SA"/>
    </w:rPr>
  </w:style>
  <w:style w:type="character" w:default="1" w:styleId="8">
    <w:name w:val="Default Paragraph Font"/>
    <w:semiHidden/>
    <w:uiPriority w:val="99"/>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caption"/>
    <w:basedOn w:val="1"/>
    <w:next w:val="1"/>
    <w:qFormat/>
    <w:uiPriority w:val="99"/>
    <w:pPr>
      <w:suppressLineNumbers/>
      <w:spacing w:before="120" w:after="120"/>
    </w:pPr>
    <w:rPr>
      <w:rFonts w:cs="Mangal"/>
      <w:i/>
      <w:iCs/>
      <w:sz w:val="24"/>
      <w:szCs w:val="24"/>
    </w:rPr>
  </w:style>
  <w:style w:type="paragraph" w:styleId="3">
    <w:name w:val="Body Text"/>
    <w:basedOn w:val="1"/>
    <w:link w:val="11"/>
    <w:uiPriority w:val="99"/>
    <w:pPr>
      <w:spacing w:after="140" w:line="288" w:lineRule="auto"/>
    </w:p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3"/>
    <w:uiPriority w:val="99"/>
    <w:rPr>
      <w:rFonts w:cs="Mangal"/>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semiHidden/>
    <w:unhideWhenUsed/>
    <w:uiPriority w:val="99"/>
  </w:style>
  <w:style w:type="character" w:customStyle="1" w:styleId="11">
    <w:name w:val="Body Text Char"/>
    <w:basedOn w:val="8"/>
    <w:link w:val="3"/>
    <w:semiHidden/>
    <w:qFormat/>
    <w:uiPriority w:val="99"/>
    <w:rPr>
      <w:kern w:val="0"/>
    </w:rPr>
  </w:style>
  <w:style w:type="paragraph" w:customStyle="1" w:styleId="12">
    <w:name w:val="标题样式"/>
    <w:basedOn w:val="1"/>
    <w:next w:val="3"/>
    <w:uiPriority w:val="99"/>
    <w:pPr>
      <w:keepNext/>
      <w:spacing w:before="240" w:after="120"/>
    </w:pPr>
    <w:rPr>
      <w:rFonts w:ascii="Arial" w:hAnsi="Arial" w:eastAsia="微软雅黑" w:cs="Mangal"/>
      <w:sz w:val="28"/>
      <w:szCs w:val="28"/>
    </w:rPr>
  </w:style>
  <w:style w:type="paragraph" w:customStyle="1" w:styleId="13">
    <w:name w:val="索引"/>
    <w:basedOn w:val="1"/>
    <w:qFormat/>
    <w:uiPriority w:val="99"/>
    <w:pPr>
      <w:suppressLineNumbers/>
    </w:pPr>
    <w:rPr>
      <w:rFonts w:cs="Mang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433</Words>
  <Characters>2469</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2018-01-02T13:03:00Z</dcterms:created>
  <dc:creator>lenovo</dc:creator>
  <cp:lastModifiedBy>Administrator</cp:lastModifiedBy>
  <dcterms:modified xsi:type="dcterms:W3CDTF">2018-03-02T08:20:30Z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2052-10.1.0.7224</vt:lpwstr>
  </property>
</Properties>
</file>